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eastAsia="Times New Roman" w:cs="Times New Roman"/>
          <w:bCs/>
          <w:sz w:val="26"/>
          <w:szCs w:val="28"/>
          <w:lang w:eastAsia="ru-RU"/>
        </w:rPr>
      </w:pPr>
      <w:r>
        <w:rPr/>
        <w:drawing>
          <wp:inline distT="0" distB="0" distL="0" distR="0">
            <wp:extent cx="476250" cy="69532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Cs w:val="28"/>
          <w:lang w:eastAsia="ru-RU"/>
        </w:rPr>
        <w:t>ОЛЕКСАНДРІВСЬКА СЕЛИЩНА РАДА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Cs w:val="28"/>
          <w:lang w:eastAsia="ru-RU"/>
        </w:rPr>
        <w:t>ВОЗНЕСЕНСЬКОГО РАЙОНУ МИКОЛАЇВСЬКОЇ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Cs w:val="28"/>
          <w:lang w:eastAsia="ru-RU"/>
        </w:rPr>
        <w:t xml:space="preserve">вулиця генерала Подзігуна,208, смт Олександрівка Вознесенського району Миколаївської області, 56530,тел./факс:(05134)9-61-47, </w:t>
      </w:r>
      <w:r>
        <w:rPr>
          <w:rFonts w:eastAsia="Times New Roman" w:cs="Times New Roman" w:ascii="Times New Roman" w:hAnsi="Times New Roman"/>
          <w:b/>
          <w:bCs/>
          <w:szCs w:val="28"/>
          <w:lang w:val="en-US" w:eastAsia="ru-RU"/>
        </w:rPr>
        <w:t>E</w:t>
      </w:r>
      <w:r>
        <w:rPr>
          <w:rFonts w:eastAsia="Times New Roman" w:cs="Times New Roman" w:ascii="Times New Roman" w:hAnsi="Times New Roman"/>
          <w:b/>
          <w:bCs/>
          <w:szCs w:val="28"/>
          <w:lang w:eastAsia="ru-RU"/>
        </w:rPr>
        <w:t>-</w:t>
      </w:r>
      <w:r>
        <w:rPr>
          <w:rFonts w:eastAsia="Times New Roman" w:cs="Times New Roman" w:ascii="Times New Roman" w:hAnsi="Times New Roman"/>
          <w:b/>
          <w:bCs/>
          <w:szCs w:val="28"/>
          <w:lang w:val="en-US" w:eastAsia="ru-RU"/>
        </w:rPr>
        <w:t>mail</w:t>
      </w:r>
      <w:r>
        <w:rPr>
          <w:rFonts w:eastAsia="Times New Roman" w:cs="Times New Roman" w:ascii="Times New Roman" w:hAnsi="Times New Roman"/>
          <w:b/>
          <w:bCs/>
          <w:szCs w:val="28"/>
          <w:lang w:eastAsia="ru-RU"/>
        </w:rPr>
        <w:t xml:space="preserve">: </w:t>
      </w:r>
      <w:hyperlink r:id="rId3">
        <w:r>
          <w:rPr>
            <w:rFonts w:eastAsia="Times New Roman" w:cs="Times New Roman" w:ascii="Times New Roman" w:hAnsi="Times New Roman"/>
            <w:b/>
            <w:bCs/>
            <w:color w:val="0563C1" w:themeColor="hyperlink"/>
            <w:szCs w:val="28"/>
            <w:u w:val="single"/>
            <w:lang w:val="en-US" w:eastAsia="ru-RU"/>
          </w:rPr>
          <w:t>osr</w:t>
        </w:r>
        <w:r>
          <w:rPr>
            <w:rFonts w:eastAsia="Times New Roman" w:cs="Times New Roman" w:ascii="Times New Roman" w:hAnsi="Times New Roman"/>
            <w:b/>
            <w:bCs/>
            <w:color w:val="0563C1" w:themeColor="hyperlink"/>
            <w:szCs w:val="28"/>
            <w:u w:val="single"/>
            <w:lang w:eastAsia="ru-RU"/>
          </w:rPr>
          <w:t>-</w:t>
        </w:r>
        <w:r>
          <w:rPr>
            <w:rFonts w:eastAsia="Times New Roman" w:cs="Times New Roman" w:ascii="Times New Roman" w:hAnsi="Times New Roman"/>
            <w:b/>
            <w:bCs/>
            <w:color w:val="0563C1" w:themeColor="hyperlink"/>
            <w:szCs w:val="28"/>
            <w:u w:val="single"/>
            <w:lang w:val="en-US" w:eastAsia="ru-RU"/>
          </w:rPr>
          <w:t>mk</w:t>
        </w:r>
        <w:r>
          <w:rPr>
            <w:rFonts w:eastAsia="Times New Roman" w:cs="Times New Roman" w:ascii="Times New Roman" w:hAnsi="Times New Roman"/>
            <w:b/>
            <w:bCs/>
            <w:color w:val="0563C1" w:themeColor="hyperlink"/>
            <w:szCs w:val="28"/>
            <w:u w:val="single"/>
            <w:lang w:eastAsia="ru-RU"/>
          </w:rPr>
          <w:t>@</w:t>
        </w:r>
        <w:r>
          <w:rPr>
            <w:rFonts w:eastAsia="Times New Roman" w:cs="Times New Roman" w:ascii="Times New Roman" w:hAnsi="Times New Roman"/>
            <w:b/>
            <w:bCs/>
            <w:color w:val="0563C1" w:themeColor="hyperlink"/>
            <w:szCs w:val="28"/>
            <w:u w:val="single"/>
            <w:lang w:val="en-US" w:eastAsia="ru-RU"/>
          </w:rPr>
          <w:t>ukr</w:t>
        </w:r>
        <w:r>
          <w:rPr>
            <w:rFonts w:eastAsia="Times New Roman" w:cs="Times New Roman" w:ascii="Times New Roman" w:hAnsi="Times New Roman"/>
            <w:b/>
            <w:bCs/>
            <w:color w:val="0563C1" w:themeColor="hyperlink"/>
            <w:szCs w:val="28"/>
            <w:u w:val="single"/>
            <w:lang w:eastAsia="ru-RU"/>
          </w:rPr>
          <w:t>.</w:t>
        </w:r>
        <w:r>
          <w:rPr>
            <w:rFonts w:eastAsia="Times New Roman" w:cs="Times New Roman" w:ascii="Times New Roman" w:hAnsi="Times New Roman"/>
            <w:b/>
            <w:bCs/>
            <w:color w:val="0563C1" w:themeColor="hyperlink"/>
            <w:szCs w:val="28"/>
            <w:u w:val="single"/>
            <w:lang w:val="en-US" w:eastAsia="ru-RU"/>
          </w:rPr>
          <w:t>net</w:t>
        </w:r>
      </w:hyperlink>
      <w:r>
        <w:rPr>
          <w:rFonts w:eastAsia="Times New Roman" w:cs="Times New Roman" w:ascii="Times New Roman" w:hAnsi="Times New Roman"/>
          <w:b/>
          <w:bCs/>
          <w:szCs w:val="28"/>
          <w:lang w:eastAsia="ru-RU"/>
        </w:rPr>
        <w:t xml:space="preserve">, код згідно з ЄДРПОУ 04376162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РІШЕННЯ</w:t>
      </w:r>
    </w:p>
    <w:p>
      <w:pPr>
        <w:pStyle w:val="Normal"/>
        <w:spacing w:lineRule="auto" w:line="240" w:before="0" w:after="20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Від 20  січня 2023 року                                                      №3   18  сесія 9 скликання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Про безоплатну передачу майна з балансу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Олександрівської селищної ради на баланс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КУ «ЦНСП» Олександрівської селищної ради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355" w:leader="none"/>
        </w:tabs>
        <w:spacing w:lineRule="atLeast" w:line="240" w:before="0" w:after="0"/>
        <w:outlineLvl w:val="2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40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Відповідно до статей 26, 60 Закону України «Про місцеве самоврядування в Україні», </w:t>
      </w:r>
      <w:r>
        <w:rPr>
          <w:rFonts w:eastAsia="Calibri" w:cs="Times New Roman" w:ascii="Times New Roman" w:hAnsi="Times New Roman"/>
          <w:sz w:val="28"/>
          <w:szCs w:val="28"/>
        </w:rPr>
        <w:t>з  метою  раціонального та ефективного використання індивідуально визначеного майна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сесія селищної ради</w:t>
      </w:r>
    </w:p>
    <w:p>
      <w:pPr>
        <w:pStyle w:val="Normal"/>
        <w:spacing w:lineRule="auto" w:line="240" w:before="0" w:after="0"/>
        <w:ind w:firstLine="405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405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И Р І Ш И Л А: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Передати  майно з балансу  Олександрівської селищної ради на баланс 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КУ «ЦНСП» Олександрівської селищної ради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 постановкою його на баланс згідно додатку до рішення.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Начальнику – головному бухгалтеру відділу бухгалтерського обліку та фінансової звітності Олександрівської селищної ради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2.1. підготувати акти прийому-передачі;                                                                          </w:t>
        <w:tab/>
        <w:t xml:space="preserve">2.2. забезпечити передачу майна в установленому  законодавством порядку;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2.3. внести відповідні зміни до реєстру  бухгалтерського обліку.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Контроль за виконання цього рішення покласти на покласти на постійну комісію з питань планування, фінансування бюджету та соціально-економічного розвитку, промисловості, підприємництва, транспорту, зв’язку та сфери послуг Олександрівської селищної ради.</w:t>
      </w:r>
      <w:bookmarkStart w:id="0" w:name="_Hlk124856455"/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Селищний  голова                                 Микола БЕНЗАР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Додаток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до рішення 18 сесії 9 скликання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Олександрівської селищної ради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від 20  січня 2023 року № 3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ПЕРЕЛІК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326" w:before="0" w:after="0"/>
        <w:jc w:val="center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майна</w:t>
      </w:r>
      <w:bookmarkStart w:id="1" w:name="bookmark36"/>
      <w:r>
        <w:rPr>
          <w:rFonts w:eastAsia="Times New Roman" w:cs="Times New Roman" w:ascii="Times New Roman" w:hAnsi="Times New Roman"/>
          <w:sz w:val="24"/>
          <w:szCs w:val="24"/>
        </w:rPr>
        <w:t xml:space="preserve">,  яке передається </w:t>
      </w:r>
      <w:bookmarkEnd w:id="1"/>
      <w:r>
        <w:rPr>
          <w:rFonts w:eastAsia="Times New Roman" w:cs="Times New Roman" w:ascii="Times New Roman" w:hAnsi="Times New Roman"/>
          <w:sz w:val="24"/>
          <w:szCs w:val="24"/>
        </w:rPr>
        <w:t>від Олександрівської селищної ради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326" w:before="0" w:after="0"/>
        <w:jc w:val="center"/>
        <w:outlineLvl w:val="1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до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КУ «ЦНСП» Олександрівської селищної ради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326" w:before="0" w:after="0"/>
        <w:jc w:val="center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a5"/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4676"/>
        <w:gridCol w:w="1136"/>
        <w:gridCol w:w="852"/>
        <w:gridCol w:w="850"/>
        <w:gridCol w:w="1275"/>
      </w:tblGrid>
      <w:tr>
        <w:trPr/>
        <w:tc>
          <w:tcPr>
            <w:tcW w:w="674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№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з/п</w:t>
            </w:r>
          </w:p>
        </w:tc>
        <w:tc>
          <w:tcPr>
            <w:tcW w:w="4676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Назва майна</w:t>
            </w:r>
          </w:p>
        </w:tc>
        <w:tc>
          <w:tcPr>
            <w:tcW w:w="1136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Одиниця виміру</w:t>
            </w:r>
          </w:p>
        </w:tc>
        <w:tc>
          <w:tcPr>
            <w:tcW w:w="852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К-сть</w:t>
            </w:r>
          </w:p>
        </w:tc>
        <w:tc>
          <w:tcPr>
            <w:tcW w:w="850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Ціна       (грн.)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Сума</w:t>
            </w:r>
          </w:p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(грн.)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exact" w:line="326" w:before="0" w:after="0"/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Продуктові пайки  (120 ящиків)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pacing w:lineRule="exac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кг</w:t>
            </w:r>
          </w:p>
        </w:tc>
        <w:tc>
          <w:tcPr>
            <w:tcW w:w="852" w:type="dxa"/>
            <w:tcBorders/>
            <w:vAlign w:val="center"/>
          </w:tcPr>
          <w:p>
            <w:pPr>
              <w:pStyle w:val="Normal"/>
              <w:widowControl w:val="false"/>
              <w:spacing w:lineRule="exac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1180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exac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1,00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 w:val="false"/>
              <w:spacing w:lineRule="exac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1180,00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exact" w:line="326" w:before="0" w:after="0"/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Борошно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pacing w:lineRule="exac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кг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lineRule="exac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400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exac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1,00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pacing w:lineRule="exact" w:line="210" w:before="0" w:after="0"/>
              <w:ind w:left="-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400,00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exact" w:line="326" w:before="0" w:after="0"/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Дитяче харчування (8 ящиків)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pacing w:lineRule="exac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кг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lineRule="exac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exact" w:line="210" w:before="0" w:after="0"/>
              <w:ind w:hanging="2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1,00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pacing w:lineRule="exac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54,00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exact" w:line="326" w:before="0" w:after="0"/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Сухофрукти (8 ящиків)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pacing w:lineRule="exac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кг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lineRule="exac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81,22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exact" w:line="210" w:before="0" w:after="0"/>
              <w:ind w:left="-24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1,00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pacing w:lineRule="exac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81,22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exact" w:line="326" w:before="0" w:after="0"/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Кава (10 упаковок)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pacing w:lineRule="exac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кг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lineRule="exac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54,50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lineRule="exact" w:line="210" w:before="0" w:after="0"/>
              <w:ind w:left="-24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1,00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pacing w:lineRule="exac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54,50</w:t>
            </w:r>
          </w:p>
        </w:tc>
      </w:tr>
      <w:tr>
        <w:trPr/>
        <w:tc>
          <w:tcPr>
            <w:tcW w:w="6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46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Чай (18 упаковок)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pacing w:lineRule="exac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кг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lineRule="exac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29,00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1,00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29,00</w:t>
            </w:r>
          </w:p>
        </w:tc>
      </w:tr>
      <w:tr>
        <w:trPr/>
        <w:tc>
          <w:tcPr>
            <w:tcW w:w="6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46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Маски медичні (2 ящика)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pacing w:lineRule="exac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кг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lineRule="exact" w:line="2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13,7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1,00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13,70</w:t>
            </w:r>
          </w:p>
        </w:tc>
      </w:tr>
    </w:tbl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326" w:before="0" w:after="0"/>
        <w:ind w:left="380" w:hanging="0"/>
        <w:jc w:val="center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326" w:before="0" w:after="0"/>
        <w:ind w:left="380" w:hanging="0"/>
        <w:jc w:val="center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326" w:before="0" w:after="0"/>
        <w:ind w:left="380" w:hanging="0"/>
        <w:jc w:val="center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326" w:before="0" w:after="0"/>
        <w:ind w:left="380" w:hanging="0"/>
        <w:jc w:val="center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326" w:before="0" w:after="0"/>
        <w:ind w:left="380" w:hanging="0"/>
        <w:jc w:val="center"/>
        <w:outlineLvl w:val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 w:before="0" w:after="0"/>
        <w:jc w:val="center"/>
        <w:rPr>
          <w:rFonts w:eastAsia="Times New Roman" w:cs="Times New Roman"/>
          <w:bCs/>
          <w:sz w:val="26"/>
          <w:szCs w:val="28"/>
          <w:lang w:eastAsia="ru-RU"/>
        </w:rPr>
      </w:pPr>
      <w:r>
        <w:rPr>
          <w:rFonts w:eastAsia="Times New Roman" w:cs="Times New Roman"/>
          <w:bCs/>
          <w:sz w:val="26"/>
          <w:szCs w:val="28"/>
          <w:lang w:eastAsia="ru-RU"/>
        </w:rPr>
      </w:r>
    </w:p>
    <w:p>
      <w:pPr>
        <w:pStyle w:val="Normal"/>
        <w:spacing w:lineRule="auto" w:line="276" w:before="0" w:after="0"/>
        <w:jc w:val="center"/>
        <w:rPr>
          <w:rFonts w:eastAsia="Times New Roman" w:cs="Times New Roman"/>
          <w:bCs/>
          <w:sz w:val="26"/>
          <w:szCs w:val="28"/>
          <w:lang w:eastAsia="ru-RU"/>
        </w:rPr>
      </w:pPr>
      <w:r>
        <w:rPr>
          <w:rFonts w:eastAsia="Times New Roman" w:cs="Times New Roman"/>
          <w:bCs/>
          <w:sz w:val="26"/>
          <w:szCs w:val="28"/>
          <w:lang w:eastAsia="ru-RU"/>
        </w:rPr>
      </w:r>
    </w:p>
    <w:p>
      <w:pPr>
        <w:pStyle w:val="Normal"/>
        <w:spacing w:lineRule="auto" w:line="276" w:before="0" w:after="0"/>
        <w:jc w:val="center"/>
        <w:rPr>
          <w:rFonts w:eastAsia="Times New Roman" w:cs="Times New Roman"/>
          <w:bCs/>
          <w:sz w:val="26"/>
          <w:szCs w:val="28"/>
          <w:lang w:eastAsia="ru-RU"/>
        </w:rPr>
      </w:pPr>
      <w:r>
        <w:rPr/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Cs w:val="28"/>
          <w:lang w:eastAsia="ru-RU"/>
        </w:rPr>
      </w:pPr>
      <w:r>
        <w:rPr/>
      </w:r>
    </w:p>
    <w:sectPr>
      <w:headerReference w:type="default" r:id="rId4"/>
      <w:type w:val="nextPage"/>
      <w:pgSz w:w="11906" w:h="16838"/>
      <w:pgMar w:left="1134" w:right="567" w:header="420" w:top="47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  <w:p>
    <w:pPr>
      <w:pStyle w:val="Style23"/>
      <w:tabs>
        <w:tab w:val="center" w:pos="4819" w:leader="none"/>
        <w:tab w:val="left" w:pos="7260" w:leader="none"/>
        <w:tab w:val="right" w:pos="9639" w:leader="none"/>
      </w:tabs>
      <w:rPr/>
    </w:pPr>
    <w:r>
      <w:rPr/>
      <w:tab/>
    </w:r>
  </w:p>
  <w:p>
    <w:pPr>
      <w:pStyle w:val="Style23"/>
      <w:rPr/>
    </w:pPr>
    <w:r>
      <w:rPr/>
    </w:r>
  </w:p>
  <w:p>
    <w:pPr>
      <w:pStyle w:val="Style23"/>
      <w:rPr/>
    </w:pPr>
    <w:r>
      <w:rPr/>
    </w:r>
  </w:p>
  <w:p>
    <w:pPr>
      <w:pStyle w:val="Style23"/>
      <w:rPr/>
    </w:pPr>
    <w:r>
      <w:rPr/>
    </w:r>
  </w:p>
  <w:p>
    <w:pPr>
      <w:pStyle w:val="Style23"/>
      <w:rPr/>
    </w:pPr>
    <w:r>
      <w:rPr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b91959"/>
    <w:rPr/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ee00fd"/>
    <w:rPr>
      <w:rFonts w:ascii="Tahoma" w:hAnsi="Tahoma" w:cs="Tahoma"/>
      <w:sz w:val="16"/>
      <w:szCs w:val="16"/>
    </w:rPr>
  </w:style>
  <w:style w:type="character" w:styleId="2" w:customStyle="1">
    <w:name w:val="Основной текст (2)_"/>
    <w:link w:val="20"/>
    <w:qFormat/>
    <w:rsid w:val="00ee00fd"/>
    <w:rPr>
      <w:rFonts w:ascii="Times New Roman" w:hAnsi="Times New Roman" w:eastAsia="Times New Roman" w:cs="Times New Roman"/>
      <w:b/>
      <w:bCs/>
      <w:sz w:val="27"/>
      <w:szCs w:val="27"/>
      <w:shd w:fill="FFFFFF" w:val="clear"/>
    </w:rPr>
  </w:style>
  <w:style w:type="character" w:styleId="21" w:customStyle="1">
    <w:name w:val="Заголовок №2_"/>
    <w:link w:val="22"/>
    <w:qFormat/>
    <w:locked/>
    <w:rsid w:val="00ee00fd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Style16">
    <w:name w:val="Гіперпосилання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Верхній і нижній колонтитули"/>
    <w:basedOn w:val="Normal"/>
    <w:qFormat/>
    <w:pPr/>
    <w:rPr/>
  </w:style>
  <w:style w:type="paragraph" w:styleId="Style23">
    <w:name w:val="Header"/>
    <w:basedOn w:val="Normal"/>
    <w:link w:val="a4"/>
    <w:uiPriority w:val="99"/>
    <w:semiHidden/>
    <w:unhideWhenUsed/>
    <w:rsid w:val="00b91959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ee00f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2" w:customStyle="1">
    <w:name w:val="Основной текст (2)"/>
    <w:basedOn w:val="Normal"/>
    <w:link w:val="2"/>
    <w:qFormat/>
    <w:rsid w:val="00ee00fd"/>
    <w:pPr>
      <w:widowControl w:val="false"/>
      <w:shd w:val="clear" w:color="auto" w:fill="FFFFFF"/>
      <w:spacing w:lineRule="atLeast" w:line="0" w:before="0" w:after="240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23" w:customStyle="1">
    <w:name w:val="Заголовок №2"/>
    <w:basedOn w:val="Normal"/>
    <w:link w:val="21"/>
    <w:qFormat/>
    <w:rsid w:val="00ee00fd"/>
    <w:pPr>
      <w:widowControl w:val="false"/>
      <w:shd w:val="clear" w:color="auto" w:fill="FFFFFF"/>
      <w:spacing w:lineRule="exact" w:line="326" w:before="0" w:after="360"/>
      <w:jc w:val="center"/>
      <w:outlineLvl w:val="1"/>
    </w:pPr>
    <w:rPr>
      <w:rFonts w:ascii="Times New Roman" w:hAnsi="Times New Roman" w:eastAsia="Times New Roman" w:cs="Times New Roman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91959"/>
    <w:pPr>
      <w:spacing w:after="0" w:line="240" w:lineRule="auto"/>
    </w:pPr>
    <w:rPr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osr-mk@ukr.ne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LibreOffice/7.1.1.2$Windows_X86_64 LibreOffice_project/fe0b08f4af1bacafe4c7ecc87ce55bb426164676</Application>
  <AppVersion>15.0000</AppVersion>
  <Pages>2</Pages>
  <Words>274</Words>
  <Characters>1761</Characters>
  <CharactersWithSpaces>2174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2023-01-17T10:43:00Z</dcterms:created>
  <dc:creator>Інна Герасименко</dc:creator>
  <dc:description/>
  <dc:language>uk-UA</dc:language>
  <cp:lastModifiedBy/>
  <dcterms:modified xsi:type="dcterms:W3CDTF">2023-01-23T09:59:24Z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